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FICHE TECHNIQUE DE LA POMPE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Pompe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TRMB 25-30/C/RZIE3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 1,1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Article A</w:t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LIQUIDE POMPÉ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Liquide pompé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Air / Air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Température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°C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Densité relative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kg/m³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Viscosité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cP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DONNÉES DE FONCTIONNEMENT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Débit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11–28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m³/h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Hauteur manométrique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mCE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NPSH 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mCE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MOTEUR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Puissance installée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Puissance absorbée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0,5–0,7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kW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Vitesse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2900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tr/min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VIDE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Liquide de service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Eau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Température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°C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Orifice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4–2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L/min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Aspiration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33–900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mbar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Refoulement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1013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mbar</w:t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DONNÉES DE LA POMPE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Exécution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Monobloc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ATEX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ZONE SÛRE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Grandeur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Pompe à vide à anneau liquide, à un étage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Construction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Garniture mécanique : A Components – dimensions/désignation selon ISO 3069 / UNI EN 12756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Orifices filetés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Orifices : filetage G 1 – selon UNI ISO 228-1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Matériaux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Corps : fonte – Roue : acier inoxydable AISI 316 – Arbre : acier inoxydable AISI 420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Particularités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Construction : monobloc direct pour accouplement avec moteur IEC forme B34 avec saillie d’arbre spéciale. Raccordements filetés selon UNI ISO 228-1. Accouplement avec moteur électrique fourni par nos soins : classe de rendement IE3 ; forme B34 ; taille 80 ; puissance 0,85/1,1 kW ; 2 pôles / 50–60 Hz ; tension 230/400 – 0,85 kW – IE4 ; 460/440 – 1,1 kW 60 Hz – IE3 ; IEC Premium IE4 – 230/400 V – 1,1 kW 60 Hz – IE3 ; IEC 240/415 V – 0,85 kW 50 Hz – IE3 ; IEC Premium IE4 – 240/415 V – 0,85 kW 50 Hz – IE3. IE3 + facteur de service = 1,15. Protection IP55 – isolation classe F avec échauffement classe B. Tropicalisé – isolation renforcée pour fonctionnement avec variateur.</w:t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TYPE DE PLAN API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Plan API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Rinçage de la garniture : API PLAN 01 – circulation interne du fluide.</w:t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SYSTÈME D’ÉTANCHÉITÉ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Type de garniture mécanique 1</w:t>
            </w:r>
          </w:p>
        </w:tc>
        <w:tc>
          <w:tcPr>
            <w:tcW w:type="dxa" w:w="1008"/>
            <w:gridSpan w:val="3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Ø22 TM SD 22 EN 12756 AQ1VGG – graphite / carbure de silicium / Viton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Type de garniture mécanique 2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ASSEMBLAGE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Configuration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Monobloc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1008"/>
            <w:gridSpan w:val="4"/>
            <w:shd w:fill="D9EAF7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DONNÉES DU MOTEUR ÉLECTRIQUE</w:t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Fournisseur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Marque BONORA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Type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CVE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Classe de rendement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Forme de montage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B34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Pôles / fréquence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2 / 50–60 Hz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Taille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IEC 80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Normes moteur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IEC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Carcasse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56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  <w:tr>
        <w:tc>
          <w:tcPr>
            <w:tcW w:type="dxa" w:w="2232"/>
            <w:vAlign w:val="top"/>
          </w:tcPr>
          <w:p>
            <w:pPr>
              <w:spacing w:after="0" w:before="0"/>
            </w:pPr>
            <w:r>
              <w:rPr>
                <w:b/>
                <w:sz w:val="16"/>
              </w:rPr>
              <w:t>Diamètre d’arbre</w:t>
            </w:r>
          </w:p>
        </w:tc>
        <w:tc>
          <w:tcPr>
            <w:tcW w:type="dxa" w:w="6336"/>
            <w:vAlign w:val="top"/>
          </w:tcPr>
          <w:p>
            <w:pPr>
              <w:spacing w:after="0" w:before="0"/>
            </w:pPr>
            <w:r>
              <w:rPr>
                <w:sz w:val="16"/>
              </w:rPr>
              <w:t>9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  <w:tc>
          <w:tcPr>
            <w:tcW w:type="dxa" w:w="1008"/>
            <w:vAlign w:val="top"/>
          </w:tcPr>
          <w:p>
            <w:pPr>
              <w:spacing w:after="0" w:before="0"/>
            </w:pPr>
            <w:r>
              <w:rPr>
                <w:sz w:val="16"/>
              </w:rPr>
            </w:r>
          </w:p>
        </w:tc>
      </w:tr>
    </w:tbl>
    <w:p>
      <w:r>
        <w:rPr>
          <w:i/>
          <w:sz w:val="16"/>
        </w:rPr>
        <w:t>Traduit et retranscrit à partir de la fiche technique fournie.</w:t>
      </w:r>
    </w:p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